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vertAlign w:val="baseline"/>
        </w:rPr>
        <w:t>关于开展2021-2022年度第二批“湖南省优质工程”评选活动的通知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湘建协[2023]1号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i w:val="0"/>
          <w:iCs w:val="0"/>
          <w:caps w:val="0"/>
          <w:color w:val="333333"/>
          <w:spacing w:val="0"/>
          <w:sz w:val="32"/>
          <w:szCs w:val="32"/>
          <w:bdr w:val="none" w:color="auto" w:sz="0" w:space="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各市、州建筑业协会，各有关单位：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为激励建设施工企业建立健全质量保证体系，加强质量管理，推动我省建设工程质量水平不断提高，根据《湖南省优质工程评选办法》（湘建协[2019]3号），我会决定组织开展2021-2022年度第二批“湖南省优质工程”评选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黑体" w:hAnsi="黑体" w:eastAsia="黑体" w:cs="黑体"/>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xml:space="preserve">    </w:t>
      </w:r>
      <w:r>
        <w:rPr>
          <w:rFonts w:hint="eastAsia" w:ascii="黑体" w:hAnsi="黑体" w:eastAsia="黑体" w:cs="黑体"/>
          <w:i w:val="0"/>
          <w:iCs w:val="0"/>
          <w:caps w:val="0"/>
          <w:color w:val="333333"/>
          <w:spacing w:val="0"/>
          <w:sz w:val="32"/>
          <w:szCs w:val="32"/>
          <w:bdr w:val="none" w:color="auto" w:sz="0" w:space="0"/>
          <w:shd w:val="clear" w:fill="FFFFFF"/>
          <w:vertAlign w:val="baseline"/>
        </w:rPr>
        <w:t>  一、申报方式及要求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资料申报采取网上报送的方式。申报单位在“湖南建筑信息网”主页登录“省优质工程申报系统”后，点击“选择申报项目”按钮，在已完成报备项目列表中点击拟申报项目。申报系统会根据项目报备信息自动生成申报表。申报单位核实、完善相关资料，打印申报表，签字盖章后在附件栏上传。申报时，应在附件栏内勾选以下资料，完成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1、建设工程施工许可证、竣工验收备案表、消防验收资料、分包合同和所分包工程的质量验收文件。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2、季度安全生产标准化考评资料，未开展安全生产标准化考评的行业和地区提供行业主管部门安全文明施工证明资料。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3、能反映工程全貌及主要局部质量情况的彩照8-10张。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Fonts w:hint="eastAsia" w:ascii="黑体" w:hAnsi="黑体" w:eastAsia="黑体" w:cs="黑体"/>
          <w:i w:val="0"/>
          <w:iCs w:val="0"/>
          <w:caps w:val="0"/>
          <w:color w:val="333333"/>
          <w:spacing w:val="0"/>
          <w:sz w:val="32"/>
          <w:szCs w:val="32"/>
          <w:shd w:val="clear" w:fill="FFFFFF"/>
          <w:vertAlign w:val="baseline"/>
        </w:rPr>
        <w:t xml:space="preserve"> 二、推荐方式及要求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1、推荐单位登录系统审核申报资料，点击推荐，上传推荐函，完成推荐工作。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2、推荐单位应主动接受建设行政主管部门和监察机关的指导以及社会的监督，所推荐工程须在当地公开媒体公示不少于7天。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3、推荐单位要严把审核关，出具的推荐函应明确质量排序。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4、推荐单位不得以评奖名义向申报单位收取任何费用。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黑体" w:hAnsi="黑体" w:eastAsia="黑体" w:cs="黑体"/>
          <w:i w:val="0"/>
          <w:iCs w:val="0"/>
          <w:caps w:val="0"/>
          <w:color w:val="333333"/>
          <w:spacing w:val="0"/>
          <w:sz w:val="32"/>
          <w:szCs w:val="32"/>
          <w:shd w:val="clear" w:fill="FFFFFF"/>
          <w:vertAlign w:val="baseline"/>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Fonts w:hint="eastAsia" w:ascii="黑体" w:hAnsi="黑体" w:eastAsia="黑体" w:cs="黑体"/>
          <w:i w:val="0"/>
          <w:iCs w:val="0"/>
          <w:caps w:val="0"/>
          <w:color w:val="333333"/>
          <w:spacing w:val="0"/>
          <w:sz w:val="32"/>
          <w:szCs w:val="32"/>
          <w:shd w:val="clear" w:fill="FFFFFF"/>
          <w:vertAlign w:val="baseline"/>
        </w:rPr>
        <w:t xml:space="preserve"> 三、工程评选程序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申报工程经网上申报，推荐单位初审、推荐，我会组织专家审核资料、复查现场、评审、上网公示无误的即入选2021-2022年度第二批“湖南省优质工程”。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黑体" w:hAnsi="黑体" w:eastAsia="黑体" w:cs="黑体"/>
          <w:i w:val="0"/>
          <w:iCs w:val="0"/>
          <w:caps w:val="0"/>
          <w:color w:val="333333"/>
          <w:spacing w:val="0"/>
          <w:sz w:val="32"/>
          <w:szCs w:val="32"/>
          <w:shd w:val="clear" w:fill="FFFFFF"/>
          <w:vertAlign w:val="baseline"/>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Fonts w:hint="eastAsia" w:ascii="黑体" w:hAnsi="黑体" w:eastAsia="黑体" w:cs="黑体"/>
          <w:i w:val="0"/>
          <w:iCs w:val="0"/>
          <w:caps w:val="0"/>
          <w:color w:val="333333"/>
          <w:spacing w:val="0"/>
          <w:sz w:val="32"/>
          <w:szCs w:val="32"/>
          <w:shd w:val="clear" w:fill="FFFFFF"/>
          <w:vertAlign w:val="baseline"/>
        </w:rPr>
        <w:t xml:space="preserve"> 四、其他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1、同一施工许可证内载明的工程应全部申报。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2、轨道交通工程应为连续施工段且应包含区段内所有分包工程。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3、湖南省创精品工程过程检查不合格的工程不得申报。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4、若推荐单位推荐诸如工程规模不达标，消防、备案等建设手续不全，住宅工程入住率不足等明显不符合要求的工程，我会将在全省范围内通报，并将情况报送相关主管部门。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5、工程建议推荐数是根据近三年各市州申报及获奖情况，结合创精品工程报备系统中的报备工程数确定，应严格执行。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6、系统详细操作流程PPT可在申报系统登录界面下载。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7、请推荐单位于2023年2月28日前完成推荐工作。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i w:val="0"/>
          <w:iCs w:val="0"/>
          <w:caps w:val="0"/>
          <w:color w:val="333333"/>
          <w:spacing w:val="0"/>
          <w:sz w:val="32"/>
          <w:szCs w:val="32"/>
          <w:bdr w:val="none" w:color="auto" w:sz="0" w:space="0"/>
          <w:shd w:val="clear" w:fill="FFFFFF"/>
          <w:vertAlign w:val="baseline"/>
        </w:rPr>
      </w:pPr>
      <w:r>
        <w:rPr>
          <w:rFonts w:hint="eastAsia" w:ascii="仿宋" w:hAnsi="仿宋" w:eastAsia="仿宋" w:cs="仿宋"/>
          <w:i w:val="0"/>
          <w:iCs w:val="0"/>
          <w:caps w:val="0"/>
          <w:color w:val="333333"/>
          <w:spacing w:val="0"/>
          <w:sz w:val="32"/>
          <w:szCs w:val="32"/>
          <w:bdr w:val="none" w:color="auto" w:sz="0" w:space="0"/>
          <w:shd w:val="clear" w:fill="FFFFFF"/>
          <w:vertAlign w:val="baseline"/>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960" w:firstLineChars="30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联系人：卢敏行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联系电话： 0731-89902859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地 址：长沙市雨花区时代阳光大道369号融程领秀佳园1栋3单元17层1707、1708室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邮 编：410116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 附件：2021-2022年度第二批湖南省优质工程建议推荐数量表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仿宋" w:hAnsi="仿宋" w:eastAsia="仿宋" w:cs="仿宋"/>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湖南省建筑业协会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 w:hAnsi="仿宋" w:eastAsia="仿宋" w:cs="仿宋"/>
          <w:i w:val="0"/>
          <w:iCs w:val="0"/>
          <w:caps w:val="0"/>
          <w:color w:val="333333"/>
          <w:spacing w:val="0"/>
          <w:sz w:val="32"/>
          <w:szCs w:val="32"/>
          <w:bdr w:val="none" w:color="auto" w:sz="0" w:space="0"/>
          <w:shd w:val="clear" w:fill="FFFFFF"/>
          <w:vertAlign w:val="baseline"/>
        </w:rPr>
      </w:pPr>
      <w:r>
        <w:rPr>
          <w:rFonts w:hint="eastAsia" w:ascii="仿宋" w:hAnsi="仿宋" w:eastAsia="仿宋" w:cs="仿宋"/>
          <w:i w:val="0"/>
          <w:iCs w:val="0"/>
          <w:caps w:val="0"/>
          <w:color w:val="333333"/>
          <w:spacing w:val="0"/>
          <w:sz w:val="32"/>
          <w:szCs w:val="32"/>
          <w:bdr w:val="none" w:color="auto" w:sz="0" w:space="0"/>
          <w:shd w:val="clear" w:fill="FFFFFF"/>
          <w:vertAlign w:val="baseline"/>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vertAlign w:val="baseline"/>
        </w:rPr>
        <w:t>2023年1月5日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 w:hAnsi="仿宋" w:eastAsia="仿宋" w:cs="仿宋"/>
          <w:i w:val="0"/>
          <w:iCs w:val="0"/>
          <w:caps w:val="0"/>
          <w:color w:val="333333"/>
          <w:spacing w:val="0"/>
          <w:sz w:val="32"/>
          <w:szCs w:val="32"/>
          <w:bdr w:val="none" w:color="auto" w:sz="0" w:space="0"/>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baseline"/>
        <w:rPr>
          <w:rFonts w:hint="eastAsia" w:ascii="仿宋" w:hAnsi="仿宋" w:eastAsia="仿宋" w:cs="仿宋"/>
          <w:i w:val="0"/>
          <w:iCs w:val="0"/>
          <w:caps w:val="0"/>
          <w:color w:val="333333"/>
          <w:spacing w:val="0"/>
          <w:sz w:val="32"/>
          <w:szCs w:val="32"/>
          <w:bdr w:val="none" w:color="auto" w:sz="0" w:space="0"/>
          <w:shd w:val="clear" w:fill="FFFFFF"/>
          <w:vertAlign w:val="baseline"/>
        </w:rPr>
      </w:pPr>
      <w:r>
        <w:rPr>
          <w:rFonts w:ascii="宋体" w:hAnsi="宋体" w:eastAsia="宋体" w:cs="宋体"/>
          <w:sz w:val="24"/>
          <w:szCs w:val="24"/>
        </w:rPr>
        <w:drawing>
          <wp:inline distT="0" distB="0" distL="114300" distR="114300">
            <wp:extent cx="5895975" cy="71628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95975" cy="716280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NTFjNGI5NTg5NGIyZjVkYTJlMDE3ODBmNGU2NWMifQ=="/>
  </w:docVars>
  <w:rsids>
    <w:rsidRoot w:val="53B73B54"/>
    <w:rsid w:val="53B7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1114</Characters>
  <Lines>0</Lines>
  <Paragraphs>0</Paragraphs>
  <TotalTime>1</TotalTime>
  <ScaleCrop>false</ScaleCrop>
  <LinksUpToDate>false</LinksUpToDate>
  <CharactersWithSpaces>1289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2023-01-06T06:45:00Z</dcterms:created>
  <dc:creator>Administrator</dc:creator>
  <cp:lastModifiedBy>Administrator</cp:lastModifiedBy>
  <dcterms:modified xsi:type="dcterms:W3CDTF">2023-01-06T06:49:42Z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3546EA7E374C492C8847A52F21D7FC38</vt:lpwstr>
  </property>
</Properties>
</file>